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7FF1C8">
      <w:pPr>
        <w:pStyle w:val="2"/>
        <w:bidi w:val="0"/>
        <w:jc w:val="center"/>
      </w:pPr>
      <w:r>
        <w:rPr>
          <w:rFonts w:hint="eastAsia"/>
        </w:rPr>
        <w:t>小米</w:t>
      </w:r>
      <w:r>
        <w:t>便签</w:t>
      </w:r>
      <w:r>
        <w:rPr>
          <w:rFonts w:hint="eastAsia"/>
          <w:lang w:val="en-US" w:eastAsia="zh-CN"/>
        </w:rPr>
        <w:t>开源代码的</w:t>
      </w:r>
      <w:r>
        <w:t>泛读</w:t>
      </w:r>
      <w:r>
        <w:rPr>
          <w:rFonts w:hint="eastAsia"/>
        </w:rPr>
        <w:t>报告</w:t>
      </w:r>
    </w:p>
    <w:p w14:paraId="5FA08C4F"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hanging="420"/>
        <w:textAlignment w:val="auto"/>
        <w:rPr>
          <w:sz w:val="28"/>
          <w:szCs w:val="21"/>
        </w:rPr>
      </w:pPr>
      <w:r>
        <w:rPr>
          <w:rFonts w:hint="eastAsia"/>
          <w:sz w:val="28"/>
          <w:szCs w:val="21"/>
        </w:rPr>
        <w:t>列出小米便签中的类及</w:t>
      </w:r>
      <w:r>
        <w:rPr>
          <w:sz w:val="28"/>
          <w:szCs w:val="21"/>
        </w:rPr>
        <w:t>各类的主要作用</w:t>
      </w:r>
    </w:p>
    <w:p w14:paraId="27563150">
      <w:pPr>
        <w:pStyle w:val="10"/>
        <w:ind w:left="420" w:firstLine="0" w:firstLineChars="0"/>
        <w:jc w:val="center"/>
        <w:rPr>
          <w:b/>
        </w:rPr>
      </w:pPr>
      <w:r>
        <w:rPr>
          <w:rFonts w:hint="eastAsia"/>
          <w:b/>
        </w:rPr>
        <w:t>表1</w:t>
      </w:r>
      <w:r>
        <w:rPr>
          <w:b/>
        </w:rPr>
        <w:t xml:space="preserve"> </w:t>
      </w:r>
      <w:r>
        <w:rPr>
          <w:rFonts w:hint="eastAsia"/>
          <w:b/>
        </w:rPr>
        <w:t>小米便签的代码构成及主要作用</w:t>
      </w:r>
    </w:p>
    <w:tbl>
      <w:tblPr>
        <w:tblStyle w:val="8"/>
        <w:tblW w:w="916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4"/>
        <w:gridCol w:w="995"/>
        <w:gridCol w:w="2361"/>
        <w:gridCol w:w="4804"/>
      </w:tblGrid>
      <w:tr w14:paraId="086137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 w14:paraId="5CFF324A">
            <w:pPr>
              <w:rPr>
                <w:rFonts w:hint="default" w:ascii="Times New Roman" w:hAnsi="Times New Roman" w:cs="Times New Roman"/>
                <w:b/>
              </w:rPr>
            </w:pPr>
            <w:r>
              <w:rPr>
                <w:rFonts w:hint="default" w:ascii="Times New Roman" w:hAnsi="Times New Roman" w:cs="Times New Roman"/>
                <w:b/>
              </w:rPr>
              <w:t>包</w:t>
            </w:r>
          </w:p>
        </w:tc>
        <w:tc>
          <w:tcPr>
            <w:tcW w:w="995" w:type="dxa"/>
          </w:tcPr>
          <w:p w14:paraId="6B395AF2">
            <w:pPr>
              <w:rPr>
                <w:rFonts w:hint="default" w:ascii="Times New Roman" w:hAnsi="Times New Roman" w:cs="Times New Roman"/>
                <w:b/>
              </w:rPr>
            </w:pPr>
            <w:r>
              <w:rPr>
                <w:rFonts w:hint="default" w:ascii="Times New Roman" w:hAnsi="Times New Roman" w:cs="Times New Roman"/>
                <w:b/>
              </w:rPr>
              <w:t>子包</w:t>
            </w:r>
          </w:p>
        </w:tc>
        <w:tc>
          <w:tcPr>
            <w:tcW w:w="2361" w:type="dxa"/>
          </w:tcPr>
          <w:p w14:paraId="57B8DD2D">
            <w:pPr>
              <w:rPr>
                <w:rFonts w:hint="default" w:ascii="Times New Roman" w:hAnsi="Times New Roman" w:cs="Times New Roman"/>
                <w:b/>
              </w:rPr>
            </w:pPr>
            <w:r>
              <w:rPr>
                <w:rFonts w:hint="default" w:ascii="Times New Roman" w:hAnsi="Times New Roman" w:cs="Times New Roman"/>
                <w:b/>
              </w:rPr>
              <w:t>类</w:t>
            </w:r>
          </w:p>
        </w:tc>
        <w:tc>
          <w:tcPr>
            <w:tcW w:w="4804" w:type="dxa"/>
          </w:tcPr>
          <w:p w14:paraId="58B85ED3">
            <w:pPr>
              <w:rPr>
                <w:rFonts w:hint="eastAsia" w:asciiTheme="minorEastAsia" w:hAnsiTheme="minorEastAsia" w:eastAsiaTheme="minorEastAsia" w:cstheme="minorEastAsia"/>
                <w:b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</w:rPr>
              <w:t>主要作用</w:t>
            </w:r>
          </w:p>
        </w:tc>
      </w:tr>
      <w:tr w14:paraId="337D89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restart"/>
          </w:tcPr>
          <w:p w14:paraId="4E62D641">
            <w:pPr>
              <w:spacing w:line="720" w:lineRule="auto"/>
              <w:ind w:firstLine="210" w:firstLineChars="100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data</w:t>
            </w:r>
          </w:p>
        </w:tc>
        <w:tc>
          <w:tcPr>
            <w:tcW w:w="995" w:type="dxa"/>
            <w:vMerge w:val="restart"/>
          </w:tcPr>
          <w:p w14:paraId="38BB7054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0F6E31C1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contact</w:t>
            </w:r>
          </w:p>
        </w:tc>
        <w:tc>
          <w:tcPr>
            <w:tcW w:w="4804" w:type="dxa"/>
            <w:vAlign w:val="center"/>
          </w:tcPr>
          <w:p w14:paraId="73757EEC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联系人管理,通过电话号码查询联系人姓名</w:t>
            </w:r>
          </w:p>
        </w:tc>
      </w:tr>
      <w:tr w14:paraId="1B6A0E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31216BA6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0D6C0798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4AA195A9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</w:t>
            </w:r>
          </w:p>
        </w:tc>
        <w:tc>
          <w:tcPr>
            <w:tcW w:w="4804" w:type="dxa"/>
            <w:vAlign w:val="center"/>
          </w:tcPr>
          <w:p w14:paraId="6890FBAD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定义便签相关的常量、URI、数据库列名和MIME类型</w:t>
            </w:r>
          </w:p>
        </w:tc>
      </w:tr>
      <w:tr w14:paraId="3D2367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5D562353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0EC4A234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0A1CC5BE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NotesDatabaseHelper</w:t>
            </w:r>
          </w:p>
        </w:tc>
        <w:tc>
          <w:tcPr>
            <w:tcW w:w="4804" w:type="dxa"/>
            <w:vAlign w:val="center"/>
          </w:tcPr>
          <w:p w14:paraId="24589622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SQLite数据库创建、版本管理和触发器定义</w:t>
            </w:r>
          </w:p>
        </w:tc>
      </w:tr>
      <w:tr w14:paraId="097C29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74242077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037B4452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5C7C5BD2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NotesProvider</w:t>
            </w:r>
          </w:p>
        </w:tc>
        <w:tc>
          <w:tcPr>
            <w:tcW w:w="4804" w:type="dxa"/>
            <w:vAlign w:val="center"/>
          </w:tcPr>
          <w:p w14:paraId="2CAF04E1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ContentProvider实现,提供数据访问接口</w:t>
            </w:r>
          </w:p>
        </w:tc>
      </w:tr>
      <w:tr w14:paraId="63F809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restart"/>
          </w:tcPr>
          <w:p w14:paraId="6493E832">
            <w:pPr>
              <w:rPr>
                <w:rFonts w:hint="default" w:ascii="Times New Roman" w:hAnsi="Times New Roman" w:cs="Times New Roman"/>
              </w:rPr>
            </w:pPr>
          </w:p>
          <w:p w14:paraId="06CCEC78">
            <w:pPr>
              <w:rPr>
                <w:rFonts w:hint="default" w:ascii="Times New Roman" w:hAnsi="Times New Roman" w:cs="Times New Roman"/>
              </w:rPr>
            </w:pPr>
          </w:p>
          <w:p w14:paraId="6BD68A94">
            <w:pPr>
              <w:rPr>
                <w:rFonts w:hint="default" w:ascii="Times New Roman" w:hAnsi="Times New Roman" w:cs="Times New Roman"/>
              </w:rPr>
            </w:pPr>
          </w:p>
          <w:p w14:paraId="1B55A77E">
            <w:pPr>
              <w:ind w:firstLine="210" w:firstLineChars="100"/>
              <w:rPr>
                <w:rFonts w:hint="default" w:ascii="Times New Roman" w:hAnsi="Times New Roman" w:cs="Times New Roman"/>
              </w:rPr>
            </w:pPr>
          </w:p>
          <w:p w14:paraId="56F0D684">
            <w:pPr>
              <w:ind w:firstLine="210" w:firstLineChars="100"/>
              <w:rPr>
                <w:rFonts w:hint="default" w:ascii="Times New Roman" w:hAnsi="Times New Roman" w:cs="Times New Roman"/>
              </w:rPr>
            </w:pPr>
          </w:p>
          <w:p w14:paraId="624C7AD5">
            <w:pPr>
              <w:ind w:firstLine="210" w:firstLineChars="100"/>
              <w:rPr>
                <w:rFonts w:hint="default" w:ascii="Times New Roman" w:hAnsi="Times New Roman" w:cs="Times New Roman"/>
              </w:rPr>
            </w:pPr>
          </w:p>
          <w:p w14:paraId="36F82815">
            <w:pPr>
              <w:ind w:firstLine="210" w:firstLineChars="100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Gtask</w:t>
            </w:r>
          </w:p>
        </w:tc>
        <w:tc>
          <w:tcPr>
            <w:tcW w:w="995" w:type="dxa"/>
            <w:vMerge w:val="restart"/>
          </w:tcPr>
          <w:p w14:paraId="446B381F">
            <w:pPr>
              <w:rPr>
                <w:rFonts w:hint="default" w:ascii="Times New Roman" w:hAnsi="Times New Roman" w:cs="Times New Roman"/>
              </w:rPr>
            </w:pPr>
          </w:p>
          <w:p w14:paraId="2869DC95">
            <w:pPr>
              <w:rPr>
                <w:rFonts w:hint="default" w:ascii="Times New Roman" w:hAnsi="Times New Roman" w:cs="Times New Roman"/>
              </w:rPr>
            </w:pPr>
          </w:p>
          <w:p w14:paraId="42C2FE6E">
            <w:pPr>
              <w:rPr>
                <w:rFonts w:hint="default" w:ascii="Times New Roman" w:hAnsi="Times New Roman" w:cs="Times New Roman"/>
              </w:rPr>
            </w:pPr>
          </w:p>
          <w:p w14:paraId="0C868280">
            <w:pPr>
              <w:ind w:firstLine="210" w:firstLineChars="100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data</w:t>
            </w:r>
          </w:p>
        </w:tc>
        <w:tc>
          <w:tcPr>
            <w:tcW w:w="2361" w:type="dxa"/>
          </w:tcPr>
          <w:p w14:paraId="13046A5E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MetaData</w:t>
            </w:r>
          </w:p>
        </w:tc>
        <w:tc>
          <w:tcPr>
            <w:tcW w:w="4804" w:type="dxa"/>
            <w:vAlign w:val="center"/>
          </w:tcPr>
          <w:p w14:paraId="135ED5E7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元数据管理,存储便签与Google Task的映射关系</w:t>
            </w:r>
          </w:p>
        </w:tc>
      </w:tr>
      <w:tr w14:paraId="48786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15D1B854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08ADDF82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6A7AFF0A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Node</w:t>
            </w:r>
          </w:p>
        </w:tc>
        <w:tc>
          <w:tcPr>
            <w:tcW w:w="4804" w:type="dxa"/>
            <w:vAlign w:val="center"/>
          </w:tcPr>
          <w:p w14:paraId="7FEC4C28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/>
              </w:rPr>
              <w:t>同步节点的基类,定义同步操作常量(添加、删除、更新等)</w:t>
            </w:r>
          </w:p>
        </w:tc>
      </w:tr>
      <w:tr w14:paraId="10CE01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06DC4C32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58AC36D1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7E36D2C6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SqlData</w:t>
            </w:r>
          </w:p>
        </w:tc>
        <w:tc>
          <w:tcPr>
            <w:tcW w:w="4804" w:type="dxa"/>
            <w:vAlign w:val="center"/>
          </w:tcPr>
          <w:p w14:paraId="13827A77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SQL数据封装,处理便签数据与JSON之间的转换</w:t>
            </w:r>
          </w:p>
        </w:tc>
      </w:tr>
      <w:tr w14:paraId="3D4B48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5ABBC193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31727AE1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</w:tcPr>
          <w:p w14:paraId="2E0B85EE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SqlNode</w:t>
            </w:r>
          </w:p>
        </w:tc>
        <w:tc>
          <w:tcPr>
            <w:tcW w:w="4804" w:type="dxa"/>
            <w:vAlign w:val="center"/>
          </w:tcPr>
          <w:p w14:paraId="43CE96B1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SQL便签封装,处理便签记录的增删改查</w:t>
            </w:r>
          </w:p>
        </w:tc>
      </w:tr>
      <w:tr w14:paraId="73F30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1004" w:type="dxa"/>
            <w:vMerge w:val="continue"/>
          </w:tcPr>
          <w:p w14:paraId="2F7E0C9F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6F175DB1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  <w:vAlign w:val="center"/>
          </w:tcPr>
          <w:p w14:paraId="03C6C21C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Task</w:t>
            </w:r>
          </w:p>
        </w:tc>
        <w:tc>
          <w:tcPr>
            <w:tcW w:w="4804" w:type="dxa"/>
            <w:vAlign w:val="center"/>
          </w:tcPr>
          <w:p w14:paraId="7AB74709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Google Task任务封装,生成创建、更新、移动等操作</w:t>
            </w:r>
          </w:p>
        </w:tc>
      </w:tr>
      <w:tr w14:paraId="2F4FB6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2332B3E7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</w:tcPr>
          <w:p w14:paraId="1AD080CA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361" w:type="dxa"/>
            <w:vAlign w:val="center"/>
          </w:tcPr>
          <w:p w14:paraId="57B3771A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TaskList</w:t>
            </w:r>
          </w:p>
        </w:tc>
        <w:tc>
          <w:tcPr>
            <w:tcW w:w="4804" w:type="dxa"/>
            <w:vAlign w:val="center"/>
          </w:tcPr>
          <w:p w14:paraId="265F71F9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Google Task列表封装,管理任务列表</w:t>
            </w:r>
          </w:p>
        </w:tc>
      </w:tr>
      <w:tr w14:paraId="16FF00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136B21B5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restart"/>
            <w:vAlign w:val="center"/>
          </w:tcPr>
          <w:p w14:paraId="0B765B11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exception</w:t>
            </w:r>
          </w:p>
        </w:tc>
        <w:tc>
          <w:tcPr>
            <w:tcW w:w="2361" w:type="dxa"/>
            <w:vAlign w:val="center"/>
          </w:tcPr>
          <w:p w14:paraId="1D115300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ActionFailureException</w:t>
            </w:r>
          </w:p>
        </w:tc>
        <w:tc>
          <w:tcPr>
            <w:tcW w:w="4804" w:type="dxa"/>
            <w:vAlign w:val="center"/>
          </w:tcPr>
          <w:p w14:paraId="75C15D22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操作失败异常,表示同步操作执行失败</w:t>
            </w:r>
          </w:p>
        </w:tc>
      </w:tr>
      <w:tr w14:paraId="34A04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5201D4E1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13CDEE04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155CD77D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NetworkFailureException</w:t>
            </w:r>
          </w:p>
        </w:tc>
        <w:tc>
          <w:tcPr>
            <w:tcW w:w="4804" w:type="dxa"/>
            <w:vAlign w:val="center"/>
          </w:tcPr>
          <w:p w14:paraId="4D09C813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网络失败异常,表示网络连接错误</w:t>
            </w:r>
          </w:p>
        </w:tc>
      </w:tr>
      <w:tr w14:paraId="04FC04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10852782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restart"/>
            <w:vAlign w:val="center"/>
          </w:tcPr>
          <w:p w14:paraId="602BDDAB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  <w:r>
              <w:rPr>
                <w:rFonts w:hint="default" w:ascii="Times New Roman" w:hAnsi="Times New Roman" w:cs="Times New Roman"/>
              </w:rPr>
              <w:t>remote</w:t>
            </w:r>
          </w:p>
        </w:tc>
        <w:tc>
          <w:tcPr>
            <w:tcW w:w="2361" w:type="dxa"/>
            <w:vAlign w:val="center"/>
          </w:tcPr>
          <w:p w14:paraId="7CE761B1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GTaskASyncTask</w:t>
            </w:r>
          </w:p>
        </w:tc>
        <w:tc>
          <w:tcPr>
            <w:tcW w:w="4804" w:type="dxa"/>
            <w:vAlign w:val="center"/>
          </w:tcPr>
          <w:p w14:paraId="29D93AF8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异步同步任务,在后台线程执行Google Task同步</w:t>
            </w:r>
          </w:p>
        </w:tc>
      </w:tr>
      <w:tr w14:paraId="2A3BB2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77662C45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42B9615E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6ACE82BC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GTaskClient</w:t>
            </w:r>
          </w:p>
        </w:tc>
        <w:tc>
          <w:tcPr>
            <w:tcW w:w="4804" w:type="dxa"/>
            <w:vAlign w:val="center"/>
          </w:tcPr>
          <w:p w14:paraId="264C9965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  <w:t>Google Task API客户端,负责登录和网络通信</w:t>
            </w:r>
          </w:p>
        </w:tc>
      </w:tr>
      <w:tr w14:paraId="38A06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429A01C9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7A79226E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2E45FF37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GTaskManager</w:t>
            </w:r>
          </w:p>
        </w:tc>
        <w:tc>
          <w:tcPr>
            <w:tcW w:w="4804" w:type="dxa"/>
            <w:vAlign w:val="center"/>
          </w:tcPr>
          <w:p w14:paraId="15D92825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  <w:t>Google Task同步管理器,协调同步流程和数据处理</w:t>
            </w:r>
          </w:p>
        </w:tc>
      </w:tr>
      <w:tr w14:paraId="3936C3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1E2D0C2E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45730DE2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214D6297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GTaskSyncService</w:t>
            </w:r>
          </w:p>
        </w:tc>
        <w:tc>
          <w:tcPr>
            <w:tcW w:w="4804" w:type="dxa"/>
            <w:vAlign w:val="center"/>
          </w:tcPr>
          <w:p w14:paraId="1FAC3C80">
            <w:pPr>
              <w:widowControl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</w:rPr>
              <w:t>同步服务,提供后台同步功能</w:t>
            </w:r>
          </w:p>
        </w:tc>
      </w:tr>
      <w:tr w14:paraId="5A66B7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restart"/>
            <w:vAlign w:val="center"/>
          </w:tcPr>
          <w:p w14:paraId="27084442">
            <w:pPr>
              <w:jc w:val="center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model</w:t>
            </w:r>
          </w:p>
        </w:tc>
        <w:tc>
          <w:tcPr>
            <w:tcW w:w="995" w:type="dxa"/>
            <w:vMerge w:val="restart"/>
            <w:vAlign w:val="center"/>
          </w:tcPr>
          <w:p w14:paraId="571DAAE5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012175A5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</w:t>
            </w:r>
          </w:p>
        </w:tc>
        <w:tc>
          <w:tcPr>
            <w:tcW w:w="4804" w:type="dxa"/>
          </w:tcPr>
          <w:p w14:paraId="0AC2DB18">
            <w:pP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</w:rPr>
              <w:t>便签模型,管理便签数据和子数据的修改</w:t>
            </w:r>
          </w:p>
        </w:tc>
      </w:tr>
      <w:tr w14:paraId="72076F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</w:trPr>
        <w:tc>
          <w:tcPr>
            <w:tcW w:w="1004" w:type="dxa"/>
            <w:vMerge w:val="continue"/>
          </w:tcPr>
          <w:p w14:paraId="38817CAF">
            <w:pPr>
              <w:ind w:firstLine="210" w:firstLineChars="100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6EEE0910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3CB16E23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WorkingNote</w:t>
            </w:r>
          </w:p>
        </w:tc>
        <w:tc>
          <w:tcPr>
            <w:tcW w:w="4804" w:type="dxa"/>
          </w:tcPr>
          <w:p w14:paraId="2EDCDBB5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工作便签,用于编辑界面的便签操作和状态管理</w:t>
            </w:r>
          </w:p>
        </w:tc>
      </w:tr>
      <w:tr w14:paraId="20992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restart"/>
            <w:vAlign w:val="center"/>
          </w:tcPr>
          <w:p w14:paraId="4F66CAEC">
            <w:pPr>
              <w:jc w:val="center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tool</w:t>
            </w:r>
          </w:p>
        </w:tc>
        <w:tc>
          <w:tcPr>
            <w:tcW w:w="995" w:type="dxa"/>
            <w:vMerge w:val="restart"/>
            <w:vAlign w:val="center"/>
          </w:tcPr>
          <w:p w14:paraId="0C5E1B07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279F280C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BackupUtils</w:t>
            </w:r>
          </w:p>
        </w:tc>
        <w:tc>
          <w:tcPr>
            <w:tcW w:w="4804" w:type="dxa"/>
          </w:tcPr>
          <w:p w14:paraId="78B67394">
            <w:pP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  <w:t>备份工具,支持便签导出为文本文件</w:t>
            </w:r>
          </w:p>
        </w:tc>
      </w:tr>
      <w:tr w14:paraId="06867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60679BF3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15FA3557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5AB81DD8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DataUtils</w:t>
            </w:r>
          </w:p>
        </w:tc>
        <w:tc>
          <w:tcPr>
            <w:tcW w:w="4804" w:type="dxa"/>
          </w:tcPr>
          <w:p w14:paraId="78F74C94">
            <w:pP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  <w:t>数据工具类,提供批量删除、移动便签等数据操作</w:t>
            </w:r>
          </w:p>
        </w:tc>
      </w:tr>
      <w:tr w14:paraId="6166F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721CFB49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7663C3C0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143C1A4D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GTaskStringUtils</w:t>
            </w:r>
          </w:p>
        </w:tc>
        <w:tc>
          <w:tcPr>
            <w:tcW w:w="4804" w:type="dxa"/>
          </w:tcPr>
          <w:p w14:paraId="73EDE50D">
            <w:pP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  <w:t>数据工具类,提供批量删除、移动便签等数据操作</w:t>
            </w:r>
          </w:p>
        </w:tc>
      </w:tr>
      <w:tr w14:paraId="62176E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23514489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38EC4220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479A8155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ResourceParser</w:t>
            </w:r>
          </w:p>
        </w:tc>
        <w:tc>
          <w:tcPr>
            <w:tcW w:w="4804" w:type="dxa"/>
          </w:tcPr>
          <w:p w14:paraId="64034B4B">
            <w:pP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000000"/>
                <w:kern w:val="0"/>
                <w:sz w:val="22"/>
                <w:lang w:bidi="ar"/>
              </w:rPr>
              <w:t>资源解析器,管理便签背景色和字体大小的资源映射</w:t>
            </w:r>
          </w:p>
        </w:tc>
      </w:tr>
      <w:tr w14:paraId="47150C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restart"/>
            <w:vAlign w:val="center"/>
          </w:tcPr>
          <w:p w14:paraId="6100E4F7">
            <w:pPr>
              <w:widowControl/>
              <w:jc w:val="center"/>
              <w:textAlignment w:val="center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ui</w:t>
            </w:r>
          </w:p>
        </w:tc>
        <w:tc>
          <w:tcPr>
            <w:tcW w:w="995" w:type="dxa"/>
            <w:vMerge w:val="restart"/>
            <w:vAlign w:val="center"/>
          </w:tcPr>
          <w:p w14:paraId="602F14C3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023740FC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AlarmAlertActivity</w:t>
            </w:r>
          </w:p>
        </w:tc>
        <w:tc>
          <w:tcPr>
            <w:tcW w:w="4804" w:type="dxa"/>
            <w:vAlign w:val="center"/>
          </w:tcPr>
          <w:p w14:paraId="28FE2D2D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闹钟提醒界面,显示到期的便签提醒</w:t>
            </w:r>
          </w:p>
        </w:tc>
      </w:tr>
      <w:tr w14:paraId="4356B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1DAB2DDA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02DFAB4C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4A428ACB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AlarmInitReceiver</w:t>
            </w:r>
          </w:p>
        </w:tc>
        <w:tc>
          <w:tcPr>
            <w:tcW w:w="4804" w:type="dxa"/>
            <w:vAlign w:val="center"/>
          </w:tcPr>
          <w:p w14:paraId="59FB3F2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闹钟初始化接收器,系统启动时重新注册闹钟</w:t>
            </w:r>
          </w:p>
        </w:tc>
      </w:tr>
      <w:tr w14:paraId="0532E7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080B3F62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29CA821D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20784B9D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AlarmReceiver</w:t>
            </w:r>
          </w:p>
        </w:tc>
        <w:tc>
          <w:tcPr>
            <w:tcW w:w="4804" w:type="dxa"/>
            <w:vAlign w:val="center"/>
          </w:tcPr>
          <w:p w14:paraId="54B82B7D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闹钟接收器,接收并处理闹钟广播</w:t>
            </w:r>
          </w:p>
        </w:tc>
      </w:tr>
      <w:tr w14:paraId="7934B3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573353EF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77D134BC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4CCEB4B9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DateTimePicker</w:t>
            </w:r>
          </w:p>
        </w:tc>
        <w:tc>
          <w:tcPr>
            <w:tcW w:w="4804" w:type="dxa"/>
            <w:vAlign w:val="center"/>
          </w:tcPr>
          <w:p w14:paraId="2293A6F6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日期时间选择器控件</w:t>
            </w:r>
          </w:p>
        </w:tc>
      </w:tr>
      <w:tr w14:paraId="17A47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0101382E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1948322B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270B5CFC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DateTimePickerDialog</w:t>
            </w:r>
          </w:p>
        </w:tc>
        <w:tc>
          <w:tcPr>
            <w:tcW w:w="4804" w:type="dxa"/>
            <w:vAlign w:val="center"/>
          </w:tcPr>
          <w:p w14:paraId="7127CC12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日期时间选择对话框</w:t>
            </w:r>
          </w:p>
        </w:tc>
      </w:tr>
      <w:tr w14:paraId="47832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6DFD3AD2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23A6DE75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0FC42BCB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DropdownMenu</w:t>
            </w:r>
          </w:p>
        </w:tc>
        <w:tc>
          <w:tcPr>
            <w:tcW w:w="4804" w:type="dxa"/>
            <w:vAlign w:val="center"/>
          </w:tcPr>
          <w:p w14:paraId="6B0DBEDE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下拉菜单组件,用于文件夹选择等操作</w:t>
            </w:r>
          </w:p>
        </w:tc>
      </w:tr>
      <w:tr w14:paraId="5E3C4C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0D78D760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17CB46BA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0C4BDB05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FoldersListAdapter</w:t>
            </w:r>
          </w:p>
        </w:tc>
        <w:tc>
          <w:tcPr>
            <w:tcW w:w="4804" w:type="dxa"/>
            <w:vAlign w:val="center"/>
          </w:tcPr>
          <w:p w14:paraId="7D1E460E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文件夹列表适配器,显示文件夹列表</w:t>
            </w:r>
          </w:p>
        </w:tc>
      </w:tr>
      <w:tr w14:paraId="50B91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3DF763F0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464C819F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2F80C434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NoteEditActivity</w:t>
            </w:r>
          </w:p>
        </w:tc>
        <w:tc>
          <w:tcPr>
            <w:tcW w:w="4804" w:type="dxa"/>
            <w:vAlign w:val="center"/>
          </w:tcPr>
          <w:p w14:paraId="6B910C5C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便签编辑界面,核心功能Activity,负责便签的创建和编辑</w:t>
            </w:r>
          </w:p>
        </w:tc>
      </w:tr>
      <w:tr w14:paraId="201B61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74F42BD3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30174A4A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6BD58F67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NoteEditText</w:t>
            </w:r>
          </w:p>
        </w:tc>
        <w:tc>
          <w:tcPr>
            <w:tcW w:w="4804" w:type="dxa"/>
            <w:vAlign w:val="center"/>
          </w:tcPr>
          <w:p w14:paraId="5B4AE257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自定义编辑框,支持多段文本、删除和添加功能</w:t>
            </w:r>
          </w:p>
        </w:tc>
      </w:tr>
      <w:tr w14:paraId="5505B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0E9ABA84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23F1B262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793EFC02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NoteItemData</w:t>
            </w:r>
          </w:p>
        </w:tc>
        <w:tc>
          <w:tcPr>
            <w:tcW w:w="4804" w:type="dxa"/>
            <w:vAlign w:val="center"/>
          </w:tcPr>
          <w:p w14:paraId="43A08E12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便签项数据封装,解析Cursor数据并提供格式化方法</w:t>
            </w:r>
          </w:p>
        </w:tc>
      </w:tr>
      <w:tr w14:paraId="1212BF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23CCF95B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0BC371C6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448BADD9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NotesListActivity</w:t>
            </w:r>
          </w:p>
        </w:tc>
        <w:tc>
          <w:tcPr>
            <w:tcW w:w="4804" w:type="dxa"/>
          </w:tcPr>
          <w:p w14:paraId="0C5AF0FB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便签列表界面,主界面Activity,显示便签和文件夹列表</w:t>
            </w:r>
          </w:p>
        </w:tc>
      </w:tr>
      <w:tr w14:paraId="754F2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69708F3A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4073B2D8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7D9F4E52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NotesListAdapter</w:t>
            </w:r>
          </w:p>
        </w:tc>
        <w:tc>
          <w:tcPr>
            <w:tcW w:w="4804" w:type="dxa"/>
          </w:tcPr>
          <w:p w14:paraId="3AB2654F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便签列表适配器,支持单选/多选模式和批量操作</w:t>
            </w:r>
          </w:p>
        </w:tc>
      </w:tr>
      <w:tr w14:paraId="61EED9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5C6D05DE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03FC50B9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4CF1BF19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NotesListItem</w:t>
            </w:r>
          </w:p>
        </w:tc>
        <w:tc>
          <w:tcPr>
            <w:tcW w:w="4804" w:type="dxa"/>
            <w:vAlign w:val="center"/>
          </w:tcPr>
          <w:p w14:paraId="79B73C52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便签列表项视图,显示便签标题、时间和提醒图标</w:t>
            </w:r>
          </w:p>
        </w:tc>
      </w:tr>
      <w:tr w14:paraId="44421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6439CBEB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0D3C400B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47BB6F68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NotesPreferenceActivity</w:t>
            </w:r>
          </w:p>
        </w:tc>
        <w:tc>
          <w:tcPr>
            <w:tcW w:w="4804" w:type="dxa"/>
            <w:vAlign w:val="center"/>
          </w:tcPr>
          <w:p w14:paraId="5C971019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设置界面,配置同步账号、字体大小等偏好设置</w:t>
            </w:r>
          </w:p>
        </w:tc>
      </w:tr>
      <w:tr w14:paraId="0CEEB9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restart"/>
            <w:vAlign w:val="center"/>
          </w:tcPr>
          <w:p w14:paraId="7CD03CD0">
            <w:pPr>
              <w:widowControl/>
              <w:jc w:val="center"/>
              <w:textAlignment w:val="center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widget</w:t>
            </w:r>
          </w:p>
        </w:tc>
        <w:tc>
          <w:tcPr>
            <w:tcW w:w="995" w:type="dxa"/>
            <w:vMerge w:val="restart"/>
            <w:vAlign w:val="center"/>
          </w:tcPr>
          <w:p w14:paraId="4FFA2421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19780E61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NoteWidgetProvider</w:t>
            </w:r>
          </w:p>
        </w:tc>
        <w:tc>
          <w:tcPr>
            <w:tcW w:w="4804" w:type="dxa"/>
            <w:vAlign w:val="center"/>
          </w:tcPr>
          <w:p w14:paraId="7ABA08DC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桌面小部件基类,实现AppWidgetProvider,处理小部件的创建、更新、删除操作,显示便签内容预览</w:t>
            </w:r>
          </w:p>
        </w:tc>
      </w:tr>
      <w:tr w14:paraId="2D2784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0938D547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26375752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5C9660A1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NoteWidgetProvider_2x</w:t>
            </w:r>
          </w:p>
        </w:tc>
        <w:tc>
          <w:tcPr>
            <w:tcW w:w="4804" w:type="dxa"/>
            <w:vAlign w:val="center"/>
          </w:tcPr>
          <w:p w14:paraId="6CDE5E2E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x尺寸桌面小部件,继承NoteWidgetProvider,使用2x布局(widget_2x.xml),提供较小的便签显示区域</w:t>
            </w:r>
          </w:p>
        </w:tc>
      </w:tr>
      <w:tr w14:paraId="79DD5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  <w:vMerge w:val="continue"/>
          </w:tcPr>
          <w:p w14:paraId="148DBCD3"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995" w:type="dxa"/>
            <w:vMerge w:val="continue"/>
            <w:vAlign w:val="center"/>
          </w:tcPr>
          <w:p w14:paraId="4A1952B1">
            <w:pPr>
              <w:widowControl/>
              <w:jc w:val="left"/>
              <w:textAlignment w:val="center"/>
              <w:rPr>
                <w:rFonts w:hint="default" w:ascii="Times New Roman" w:hAnsi="Times New Roman" w:eastAsia="等线" w:cs="Times New Roman"/>
                <w:color w:val="000000"/>
                <w:kern w:val="0"/>
                <w:sz w:val="22"/>
                <w:lang w:bidi="ar"/>
              </w:rPr>
            </w:pPr>
          </w:p>
        </w:tc>
        <w:tc>
          <w:tcPr>
            <w:tcW w:w="2361" w:type="dxa"/>
            <w:vAlign w:val="center"/>
          </w:tcPr>
          <w:p w14:paraId="01CF27FD">
            <w:pPr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NoteWidgetProvider_4x</w:t>
            </w:r>
          </w:p>
        </w:tc>
        <w:tc>
          <w:tcPr>
            <w:tcW w:w="4804" w:type="dxa"/>
            <w:vAlign w:val="center"/>
          </w:tcPr>
          <w:p w14:paraId="190A8817">
            <w:pP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color w:val="000000"/>
                <w:kern w:val="0"/>
                <w:sz w:val="22"/>
                <w:lang w:bidi="ar"/>
              </w:rPr>
              <w:t>4x尺寸桌面小部件,继承NoteWidgetProvider,使用4x布局(widget_4x.xml),提供较大的便签显示区域</w:t>
            </w:r>
          </w:p>
        </w:tc>
      </w:tr>
    </w:tbl>
    <w:p w14:paraId="02C2E227"/>
    <w:p w14:paraId="580BEB7A"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hanging="420"/>
        <w:textAlignment w:val="auto"/>
        <w:rPr>
          <w:rFonts w:hint="eastAsia"/>
          <w:b/>
          <w:sz w:val="28"/>
          <w:szCs w:val="21"/>
        </w:rPr>
      </w:pPr>
      <w:r>
        <w:rPr>
          <w:rFonts w:hint="eastAsia"/>
          <w:b/>
          <w:sz w:val="28"/>
          <w:szCs w:val="21"/>
        </w:rPr>
        <w:t>类间关系图</w:t>
      </w:r>
    </w:p>
    <w:p w14:paraId="6EEBA076">
      <w:pPr>
        <w:numPr>
          <w:ilvl w:val="0"/>
          <w:numId w:val="2"/>
        </w:numPr>
        <w:ind w:left="425" w:leftChars="0" w:hanging="425" w:firstLineChars="0"/>
        <w:rPr>
          <w:rFonts w:hint="default" w:eastAsiaTheme="minorEastAsia"/>
          <w:sz w:val="22"/>
          <w:szCs w:val="22"/>
          <w:lang w:val="en-US" w:eastAsia="zh-CN"/>
        </w:rPr>
      </w:pPr>
      <w:r>
        <w:rPr>
          <w:rFonts w:hint="eastAsia"/>
          <w:sz w:val="22"/>
          <w:szCs w:val="22"/>
          <w:lang w:val="en-US" w:eastAsia="zh-CN"/>
        </w:rPr>
        <w:t>dao包</w:t>
      </w:r>
    </w:p>
    <w:p w14:paraId="1E61D643">
      <w:r>
        <w:drawing>
          <wp:inline distT="0" distB="0" distL="114300" distR="114300">
            <wp:extent cx="5253990" cy="4163060"/>
            <wp:effectExtent l="0" t="0" r="381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416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4130675"/>
            <wp:effectExtent l="0" t="0" r="381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C1B84">
      <w:pPr>
        <w:widowControl w:val="0"/>
        <w:numPr>
          <w:numId w:val="0"/>
        </w:numPr>
        <w:jc w:val="both"/>
        <w:rPr>
          <w:rFonts w:hint="eastAsia"/>
          <w:lang w:val="en-US" w:eastAsia="zh-CN"/>
        </w:rPr>
      </w:pPr>
    </w:p>
    <w:p w14:paraId="62D64911">
      <w:pPr>
        <w:widowControl w:val="0"/>
        <w:numPr>
          <w:ilvl w:val="0"/>
          <w:numId w:val="2"/>
        </w:numPr>
        <w:ind w:left="425" w:leftChars="0" w:hanging="425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gtask.data包 </w:t>
      </w:r>
    </w:p>
    <w:p w14:paraId="22EFB320">
      <w:pPr>
        <w:widowControl w:val="0"/>
        <w:numPr>
          <w:numId w:val="0"/>
        </w:numPr>
        <w:jc w:val="both"/>
      </w:pPr>
      <w:r>
        <w:drawing>
          <wp:inline distT="0" distB="0" distL="114300" distR="114300">
            <wp:extent cx="5271770" cy="3449955"/>
            <wp:effectExtent l="0" t="0" r="1143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4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884805"/>
            <wp:effectExtent l="0" t="0" r="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48374">
      <w:pPr>
        <w:widowControl w:val="0"/>
        <w:numPr>
          <w:ilvl w:val="0"/>
          <w:numId w:val="2"/>
        </w:numPr>
        <w:ind w:left="425" w:leftChars="0" w:hanging="425" w:firstLineChars="0"/>
        <w:jc w:val="both"/>
      </w:pPr>
      <w:r>
        <w:rPr>
          <w:rFonts w:hint="eastAsia"/>
        </w:rPr>
        <w:t>gtask.exception包</w:t>
      </w:r>
    </w:p>
    <w:p w14:paraId="315124A3">
      <w:pPr>
        <w:widowControl w:val="0"/>
        <w:numPr>
          <w:numId w:val="0"/>
        </w:numPr>
        <w:ind w:leftChars="0"/>
        <w:jc w:val="both"/>
      </w:pPr>
      <w:r>
        <w:drawing>
          <wp:inline distT="0" distB="0" distL="114300" distR="114300">
            <wp:extent cx="5271135" cy="1489075"/>
            <wp:effectExtent l="0" t="0" r="1206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9CBF3">
      <w:pPr>
        <w:widowControl w:val="0"/>
        <w:numPr>
          <w:ilvl w:val="0"/>
          <w:numId w:val="2"/>
        </w:numPr>
        <w:ind w:left="425" w:leftChars="0" w:hanging="425" w:firstLineChars="0"/>
        <w:jc w:val="both"/>
      </w:pPr>
      <w:r>
        <w:rPr>
          <w:rFonts w:hint="eastAsia"/>
        </w:rPr>
        <w:t>gtask.remote包</w:t>
      </w:r>
    </w:p>
    <w:p w14:paraId="53D96360">
      <w:pPr>
        <w:widowControl w:val="0"/>
        <w:numPr>
          <w:numId w:val="0"/>
        </w:numPr>
        <w:ind w:leftChars="0"/>
        <w:jc w:val="both"/>
      </w:pPr>
      <w:r>
        <w:drawing>
          <wp:inline distT="0" distB="0" distL="114300" distR="114300">
            <wp:extent cx="5271770" cy="3500755"/>
            <wp:effectExtent l="0" t="0" r="1143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0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20955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349D2">
      <w:pPr>
        <w:widowControl w:val="0"/>
        <w:numPr>
          <w:ilvl w:val="0"/>
          <w:numId w:val="2"/>
        </w:numPr>
        <w:ind w:left="425" w:leftChars="0" w:hanging="425" w:firstLineChars="0"/>
        <w:jc w:val="both"/>
      </w:pPr>
      <w:r>
        <w:rPr>
          <w:rFonts w:hint="eastAsia"/>
        </w:rPr>
        <w:t>model包</w:t>
      </w:r>
    </w:p>
    <w:p w14:paraId="65C2C705">
      <w:pPr>
        <w:widowControl w:val="0"/>
        <w:numPr>
          <w:numId w:val="0"/>
        </w:numPr>
        <w:ind w:leftChars="0"/>
        <w:jc w:val="both"/>
      </w:pPr>
      <w:r>
        <w:drawing>
          <wp:inline distT="0" distB="0" distL="114300" distR="114300">
            <wp:extent cx="5258435" cy="2781300"/>
            <wp:effectExtent l="0" t="0" r="1206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0E9E2">
      <w:pPr>
        <w:widowControl w:val="0"/>
        <w:numPr>
          <w:ilvl w:val="0"/>
          <w:numId w:val="2"/>
        </w:numPr>
        <w:ind w:left="425" w:leftChars="0" w:hanging="425" w:firstLineChars="0"/>
        <w:jc w:val="both"/>
      </w:pPr>
      <w:r>
        <w:rPr>
          <w:rFonts w:hint="eastAsia"/>
        </w:rPr>
        <w:t>tool包</w:t>
      </w:r>
    </w:p>
    <w:p w14:paraId="24BEF79D">
      <w:pPr>
        <w:widowControl w:val="0"/>
        <w:numPr>
          <w:numId w:val="0"/>
        </w:numPr>
        <w:jc w:val="both"/>
      </w:pPr>
      <w:r>
        <w:drawing>
          <wp:inline distT="0" distB="0" distL="114300" distR="114300">
            <wp:extent cx="5272405" cy="4609465"/>
            <wp:effectExtent l="0" t="0" r="1079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60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3322955"/>
            <wp:effectExtent l="0" t="0" r="508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04FC3">
      <w:pPr>
        <w:widowControl w:val="0"/>
        <w:numPr>
          <w:numId w:val="0"/>
        </w:numPr>
        <w:jc w:val="both"/>
      </w:pPr>
    </w:p>
    <w:p w14:paraId="5C5E7035">
      <w:pPr>
        <w:widowControl w:val="0"/>
        <w:numPr>
          <w:numId w:val="0"/>
        </w:numPr>
        <w:jc w:val="both"/>
      </w:pPr>
    </w:p>
    <w:p w14:paraId="06B13899">
      <w:pPr>
        <w:widowControl w:val="0"/>
        <w:numPr>
          <w:ilvl w:val="0"/>
          <w:numId w:val="2"/>
        </w:numPr>
        <w:ind w:left="425" w:leftChars="0" w:hanging="425" w:firstLineChars="0"/>
        <w:jc w:val="both"/>
        <w:rPr>
          <w:rFonts w:hint="eastAsia"/>
        </w:rPr>
      </w:pPr>
      <w:r>
        <w:rPr>
          <w:rFonts w:hint="eastAsia"/>
        </w:rPr>
        <w:t xml:space="preserve">ui包 </w:t>
      </w:r>
    </w:p>
    <w:p w14:paraId="60684131">
      <w:pPr>
        <w:widowControl w:val="0"/>
        <w:numPr>
          <w:numId w:val="0"/>
        </w:numPr>
        <w:jc w:val="both"/>
      </w:pPr>
      <w:r>
        <w:drawing>
          <wp:inline distT="0" distB="0" distL="114300" distR="114300">
            <wp:extent cx="5268595" cy="3520440"/>
            <wp:effectExtent l="0" t="0" r="190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168650"/>
            <wp:effectExtent l="0" t="0" r="11430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3272155"/>
            <wp:effectExtent l="0" t="0" r="381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72405" cy="2905760"/>
            <wp:effectExtent l="0" t="0" r="10795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0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1610" cy="206184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rcRect t="1926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39C8E">
      <w:pPr>
        <w:widowControl w:val="0"/>
        <w:numPr>
          <w:ilvl w:val="0"/>
          <w:numId w:val="2"/>
        </w:numPr>
        <w:ind w:left="425" w:leftChars="0" w:hanging="425" w:firstLineChars="0"/>
        <w:jc w:val="both"/>
        <w:rPr>
          <w:rFonts w:hint="eastAsia"/>
        </w:rPr>
      </w:pPr>
      <w:r>
        <w:rPr>
          <w:rFonts w:hint="eastAsia"/>
        </w:rPr>
        <w:t>widget包</w:t>
      </w:r>
    </w:p>
    <w:p w14:paraId="61DBD084">
      <w:pPr>
        <w:widowControl w:val="0"/>
        <w:numPr>
          <w:numId w:val="0"/>
        </w:numPr>
        <w:jc w:val="both"/>
        <w:rPr>
          <w:rFonts w:hint="eastAsia"/>
        </w:rPr>
      </w:pPr>
      <w:r>
        <w:drawing>
          <wp:inline distT="0" distB="0" distL="114300" distR="114300">
            <wp:extent cx="5263515" cy="2479040"/>
            <wp:effectExtent l="0" t="0" r="6985" b="10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7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061B7">
      <w:pPr>
        <w:widowControl w:val="0"/>
        <w:numPr>
          <w:numId w:val="0"/>
        </w:numPr>
        <w:jc w:val="both"/>
      </w:pPr>
    </w:p>
    <w:p w14:paraId="26ED89E9"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hanging="420"/>
        <w:textAlignment w:val="auto"/>
        <w:rPr>
          <w:rFonts w:hint="eastAsia"/>
          <w:b/>
          <w:sz w:val="28"/>
          <w:szCs w:val="21"/>
        </w:rPr>
      </w:pPr>
      <w:r>
        <w:rPr>
          <w:rFonts w:hint="eastAsia"/>
          <w:b/>
          <w:sz w:val="28"/>
          <w:szCs w:val="21"/>
        </w:rPr>
        <w:t>列出小米便签的基本功能</w:t>
      </w:r>
    </w:p>
    <w:p w14:paraId="577B9B69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便签创建与编辑: 支持创建文本便签,多段文本输入</w:t>
      </w:r>
    </w:p>
    <w:p w14:paraId="7E2D90F9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文件夹管理: 创建文件夹,将便签移动到不同文件夹</w:t>
      </w:r>
    </w:p>
    <w:p w14:paraId="1B9A1D4B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便签列表浏览: 显示所有便签和文件夹,按修改时间排序</w:t>
      </w:r>
    </w:p>
    <w:p w14:paraId="3B43322C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多选批量操作: 批量删除、批量移动便签</w:t>
      </w:r>
    </w:p>
    <w:p w14:paraId="4AE929BE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闹钟提醒: 为便签设置提醒时间,到期弹出提醒</w:t>
      </w:r>
    </w:p>
    <w:p w14:paraId="6C1CC899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桌面小部件: 2x和4x两种尺寸的桌面便签显示</w:t>
      </w:r>
    </w:p>
    <w:p w14:paraId="41FB21A5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通话记录: 自动保存通话记录为便签</w:t>
      </w:r>
    </w:p>
    <w:p w14:paraId="7DF7E60E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背景色切换: 5种颜色主题(黄、蓝、白、绿、红)</w:t>
      </w:r>
    </w:p>
    <w:p w14:paraId="1DA8CC94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字体大小调整: 4种字体大小(小、中、大、超大)</w:t>
      </w:r>
    </w:p>
    <w:p w14:paraId="7DBEB046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Google Task同步: 与Google云端任务双向同步</w:t>
      </w:r>
    </w:p>
    <w:p w14:paraId="2F4B7CA6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数据备份导出: 导出所有便签为文本文件</w:t>
      </w:r>
    </w:p>
    <w:p w14:paraId="1B30B225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回收站功能: 删除的便签放入回收站,可恢复</w:t>
      </w:r>
    </w:p>
    <w:p w14:paraId="53E29BB9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搜索功能: 在便签内容中搜索关键词</w:t>
      </w:r>
    </w:p>
    <w:p w14:paraId="3B19DE5D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快捷方式: 为便签创建桌面快捷方式</w:t>
      </w:r>
    </w:p>
    <w:p w14:paraId="09DAFAA3">
      <w:pPr>
        <w:pStyle w:val="10"/>
        <w:numPr>
          <w:ilvl w:val="0"/>
          <w:numId w:val="3"/>
        </w:numPr>
        <w:ind w:left="425" w:leftChars="0" w:hanging="425" w:firstLineChars="0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偏好设置: 同步账号配置、字体大小、背景色设置</w:t>
      </w:r>
    </w:p>
    <w:p w14:paraId="24B0FB7B"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hanging="420"/>
        <w:textAlignment w:val="auto"/>
        <w:rPr>
          <w:rFonts w:hint="eastAsia"/>
          <w:b/>
          <w:sz w:val="28"/>
          <w:szCs w:val="21"/>
        </w:rPr>
      </w:pPr>
      <w:r>
        <w:rPr>
          <w:rFonts w:hint="eastAsia"/>
          <w:b/>
          <w:sz w:val="28"/>
          <w:szCs w:val="21"/>
          <w:lang w:val="en-US" w:eastAsia="zh-CN"/>
        </w:rPr>
        <w:t>软件</w:t>
      </w:r>
      <w:r>
        <w:rPr>
          <w:rFonts w:hint="eastAsia"/>
          <w:b/>
          <w:sz w:val="28"/>
          <w:szCs w:val="21"/>
        </w:rPr>
        <w:t>功能与类间的对应关系</w:t>
      </w:r>
    </w:p>
    <w:tbl>
      <w:tblPr>
        <w:tblStyle w:val="7"/>
        <w:tblW w:w="89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1557"/>
        <w:gridCol w:w="3011"/>
        <w:gridCol w:w="3537"/>
      </w:tblGrid>
      <w:tr w14:paraId="58D330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6B77970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序号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1E95B2B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功能名称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771315E4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实现模块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10C5F9D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实现方法</w:t>
            </w:r>
          </w:p>
        </w:tc>
      </w:tr>
      <w:tr w14:paraId="3510AD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460653F3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298005E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创建便签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4A7D74A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ui.NoteEditActivity + model.WorkingNote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1E29236F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NoteEditActivity接收新建意图,WorkingNote创建新便签记录</w:t>
            </w:r>
          </w:p>
        </w:tc>
      </w:tr>
      <w:tr w14:paraId="3EB026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7A264D47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2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2969F4B4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编辑便签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78777C9D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ui.NoteEditActivity + model.WorkingNote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1F897550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WorkingNote加载现有便签,NoteEditText编辑内容</w:t>
            </w:r>
          </w:p>
        </w:tc>
      </w:tr>
      <w:tr w14:paraId="5BCBAE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0B0BB86B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3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08684560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删除便签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797A1177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tool.DataUtils + data.NotesProvider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13E1FB58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DataUtils.batchDeleteNotes批量删除,触发数据库删除</w:t>
            </w:r>
          </w:p>
        </w:tc>
      </w:tr>
      <w:tr w14:paraId="59BC16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5F5D183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4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2DF90BA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移动便签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0EB9EB37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tool.DataUtils + data.NotesProvider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5DC9CBB4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DataUtils.batchMoveToFolder更新便签parent_id</w:t>
            </w:r>
          </w:p>
        </w:tc>
      </w:tr>
      <w:tr w14:paraId="73D989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05350834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5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77353890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便签列表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26E37EBC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ui.NotesListActivity + ui.NotesListAdapter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6F6BBDD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CursorAdapter查询数据库,ListView显示列表</w:t>
            </w:r>
          </w:p>
        </w:tc>
      </w:tr>
      <w:tr w14:paraId="2F8D0A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0C9D29B4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6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1ADE77E3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文件夹管理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27E8613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ui.FoldersListAdapter + data.Notes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4EDCDED0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NotesListActivity查询TYPE_FOLDER类型的便签</w:t>
            </w:r>
          </w:p>
        </w:tc>
      </w:tr>
      <w:tr w14:paraId="657EC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777C206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7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140980D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闹钟提醒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3D2E313B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ui.AlarmAlertActivity + ui.AlarmReceiver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0A1B1C99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AlarmManager定时触发,AlarmReceiver启动提醒界面</w:t>
            </w:r>
          </w:p>
        </w:tc>
      </w:tr>
      <w:tr w14:paraId="118AF0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45AE514F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8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681E8B4F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桌面小部件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788F41B9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widget.NoteWidgetProvider系列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3B68B6B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AppWidgetProvider接收更新广播,RemoteViews更新界面</w:t>
            </w:r>
          </w:p>
        </w:tc>
      </w:tr>
      <w:tr w14:paraId="16EEC0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4BDB5BA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9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7E9D7D8C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背景色切换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36D35AEC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tool.ResourceParser + ui.NoteEditActivity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5778F2D3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ResourceParser提供资源映射,动态设置背景</w:t>
            </w:r>
          </w:p>
        </w:tc>
      </w:tr>
      <w:tr w14:paraId="1DE24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5F8747A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10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4E1F46CC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字体调整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6FA080AF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tool.ResourceParser + ui.NoteEditActivity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32677A2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SharedPreferences保存设置,动态修改TextView样式</w:t>
            </w:r>
          </w:p>
        </w:tc>
      </w:tr>
      <w:tr w14:paraId="60507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1A691BE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11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3098C575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云同步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166B1717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gtask.GTaskManager + gtask.GTaskClient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278F3B16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GTaskClient调用Google API,GTaskManager协调同步</w:t>
            </w:r>
          </w:p>
        </w:tc>
      </w:tr>
      <w:tr w14:paraId="3232CE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0A06323B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12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568C4A19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数据备份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311276CA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tool.BackupUtils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58F362EA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查询所有便签数据,导出为格式化文本文件</w:t>
            </w:r>
          </w:p>
        </w:tc>
      </w:tr>
      <w:tr w14:paraId="755711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4A847EB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13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7268D79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搜索功能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31EDB135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ui.NotesListActivity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597D7D59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用户输入查询,NoteEditText高亮显示匹配内容</w:t>
            </w:r>
          </w:p>
        </w:tc>
      </w:tr>
      <w:tr w14:paraId="2B542D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1A8F8F55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14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0204BB1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多选操作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50D3A2A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ui.NotesListAdapter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4CC44F7D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setChoiceMode启用选择模式,收集选中ID执行操作</w:t>
            </w:r>
          </w:p>
        </w:tc>
      </w:tr>
      <w:tr w14:paraId="41A9D1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6D41CE96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15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18A648E5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通话记录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0D44CA7C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ui.NotesListActivity + model.data.Contact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6030DAA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监听通话广播,自动创建CallNote类型便签</w:t>
            </w:r>
          </w:p>
        </w:tc>
      </w:tr>
      <w:tr w14:paraId="55D5C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3B447BC8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16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11D48D6E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数据库操作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3D0E59AB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data.NotesDatabaseHelper + data.NotesProvider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1C921847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SQLiteOpenHelper管理数据库,ContentProvider提供接口</w:t>
            </w:r>
          </w:p>
        </w:tc>
      </w:tr>
      <w:tr w14:paraId="471F75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6C86D282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17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3A3251DA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日期时间选择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00B5D5ED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ui.DateTimePickerDialog + ui.DateTimePicker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0F1CFE61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自定义Dialog和控件,设置闹钟时间</w:t>
            </w:r>
          </w:p>
        </w:tc>
      </w:tr>
      <w:tr w14:paraId="1E8628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shd w:val="clear" w:color="auto" w:fill="auto"/>
            <w:vAlign w:val="top"/>
          </w:tcPr>
          <w:p w14:paraId="1D216C33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18</w:t>
            </w:r>
          </w:p>
        </w:tc>
        <w:tc>
          <w:tcPr>
            <w:tcW w:w="1557" w:type="dxa"/>
            <w:shd w:val="clear" w:color="auto" w:fill="auto"/>
            <w:vAlign w:val="top"/>
          </w:tcPr>
          <w:p w14:paraId="3E3E3D10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偏好设置</w:t>
            </w:r>
          </w:p>
        </w:tc>
        <w:tc>
          <w:tcPr>
            <w:tcW w:w="3011" w:type="dxa"/>
            <w:shd w:val="clear" w:color="auto" w:fill="auto"/>
            <w:vAlign w:val="top"/>
          </w:tcPr>
          <w:p w14:paraId="68D1F723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ui.NotesPreferenceActivity</w:t>
            </w:r>
          </w:p>
        </w:tc>
        <w:tc>
          <w:tcPr>
            <w:tcW w:w="3537" w:type="dxa"/>
            <w:shd w:val="clear" w:color="auto" w:fill="auto"/>
            <w:vAlign w:val="top"/>
          </w:tcPr>
          <w:p w14:paraId="14176085">
            <w:pPr>
              <w:spacing w:before="120" w:after="120" w:line="288" w:lineRule="auto"/>
              <w:ind w:left="0" w:leftChars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PreferenceScreen配置同步账号、字体等参数</w:t>
            </w:r>
          </w:p>
        </w:tc>
      </w:tr>
    </w:tbl>
    <w:p w14:paraId="31A22547"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hanging="420"/>
        <w:textAlignment w:val="auto"/>
        <w:rPr>
          <w:rFonts w:hint="eastAsia"/>
          <w:b/>
          <w:sz w:val="28"/>
          <w:szCs w:val="21"/>
        </w:rPr>
      </w:pPr>
      <w:r>
        <w:rPr>
          <w:rFonts w:hint="eastAsia"/>
          <w:b/>
          <w:sz w:val="28"/>
          <w:szCs w:val="21"/>
        </w:rPr>
        <w:t>收获</w:t>
      </w:r>
    </w:p>
    <w:p w14:paraId="7AA0F0C5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Android组件架构: 学习了Activity、Service、BroadcastReceiver、ContentProvider四大组件的协同工作</w:t>
      </w:r>
    </w:p>
    <w:p w14:paraId="731E8E2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MV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C</w:t>
      </w:r>
      <w:r>
        <w:rPr>
          <w:rFonts w:hint="eastAsia" w:ascii="宋体" w:hAnsi="宋体" w:eastAsia="宋体" w:cs="宋体"/>
          <w:sz w:val="22"/>
          <w:szCs w:val="22"/>
        </w:rPr>
        <w:t>设计模式: 理解Model(WorkingNote/Note)、View(NotesListItem)、Controller(NoteEditActivity)的分层架构</w:t>
      </w:r>
    </w:p>
    <w:p w14:paraId="12281D48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ContentProvider: 掌握了自定义ContentProvider实现数据共享的方法</w:t>
      </w:r>
    </w:p>
    <w:p w14:paraId="43B13AD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异步任务: 学习了AsyncTask(Android后台任务)的使用,用于云同步功能</w:t>
      </w:r>
    </w:p>
    <w:p w14:paraId="59A49626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桌面小部件: 了解了AppWidgetProvider的开发流程</w:t>
      </w:r>
    </w:p>
    <w:p w14:paraId="132B539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闹钟机制: 学习了AlarmManager定时任务的设置和取消</w:t>
      </w:r>
    </w:p>
    <w:p w14:paraId="77D2A833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Google API集成: 了解了第三方API登录和数据同步的实现方式</w:t>
      </w:r>
    </w:p>
    <w:p w14:paraId="706FBB22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数据库管理: 学习了SQLiteOpenHelper、触发器、ContentProviderOperation的使用</w:t>
      </w:r>
    </w:p>
    <w:p w14:paraId="0685474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资源管理: 掌握了Android资源系统的组织和使用方法</w:t>
      </w:r>
    </w:p>
    <w:p w14:paraId="43305648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425" w:leftChars="0" w:hanging="425" w:firstLineChars="0"/>
        <w:textAlignment w:val="auto"/>
        <w:rPr>
          <w:rFonts w:hint="eastAsia"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</w:rPr>
        <w:t>自定义View: 学习了NoteEditText、DateTimePicker等自定义控件的开发</w:t>
      </w:r>
    </w:p>
    <w:p w14:paraId="36D8BD11">
      <w:pPr>
        <w:pStyle w:val="3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20" w:after="120" w:line="360" w:lineRule="auto"/>
        <w:ind w:left="420" w:hanging="420"/>
        <w:textAlignment w:val="auto"/>
        <w:rPr>
          <w:rFonts w:hint="eastAsia"/>
          <w:b/>
          <w:sz w:val="28"/>
          <w:szCs w:val="21"/>
        </w:rPr>
      </w:pPr>
      <w:r>
        <w:rPr>
          <w:rFonts w:hint="eastAsia"/>
          <w:b/>
          <w:sz w:val="28"/>
          <w:szCs w:val="21"/>
        </w:rPr>
        <w:t>存在的问题</w:t>
      </w:r>
    </w:p>
    <w:p w14:paraId="076BBF3B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Google Task同步已废弃: Google已关闭Google Tasks API,同步功能无法使用</w:t>
      </w:r>
    </w:p>
    <w:p w14:paraId="273BE904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权限管理: 项目使用的是旧版权限模型,未适配Android 6.0+的动态权限请求</w:t>
      </w:r>
    </w:p>
    <w:p w14:paraId="3655FCF2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存储权限: 备份功能使用ExternalStorage,在Android 10+上需要使用Scoped Storage</w:t>
      </w:r>
    </w:p>
    <w:p w14:paraId="62E09C32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Target SDK过低: 可能需要升级targetSdkVersion以适配新版Android系统</w:t>
      </w:r>
    </w:p>
    <w:p w14:paraId="0270EFE3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代码重复: data包和model.data包存在重复的Contact、Notes、NotesDatabaseHelper类</w:t>
      </w:r>
    </w:p>
    <w:p w14:paraId="4F78D6C9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异常处理: 部分代码缺少完善的异常处理机制</w:t>
      </w:r>
    </w:p>
    <w:p w14:paraId="72E20080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内存泄漏风险: 静态缓存(sContactCache)未设置大小限制,可能导致内存溢出</w:t>
      </w:r>
    </w:p>
    <w:p w14:paraId="55FBBC1A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向后兼容性: 部分API可能在新版本Android上已弃用</w:t>
      </w:r>
    </w:p>
    <w:p w14:paraId="1B2881A9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UI/UX: 界面风格较老旧,未使用Material Design规范</w:t>
      </w:r>
    </w:p>
    <w:p w14:paraId="0AC8FA4C">
      <w:pPr>
        <w:numPr>
          <w:ilvl w:val="0"/>
          <w:numId w:val="5"/>
        </w:numPr>
        <w:ind w:left="425" w:leftChars="0" w:hanging="425" w:firstLineChars="0"/>
        <w:rPr>
          <w:rFonts w:hint="eastAsia" w:ascii="宋体" w:hAnsi="宋体" w:eastAsia="宋体" w:cs="宋体"/>
          <w:b w:val="0"/>
          <w:bCs/>
          <w:sz w:val="22"/>
          <w:szCs w:val="22"/>
        </w:rPr>
      </w:pPr>
      <w:r>
        <w:rPr>
          <w:rFonts w:hint="eastAsia" w:ascii="宋体" w:hAnsi="宋体" w:eastAsia="宋体" w:cs="宋体"/>
          <w:b w:val="0"/>
          <w:bCs/>
          <w:sz w:val="22"/>
          <w:szCs w:val="22"/>
        </w:rPr>
        <w:t>测试缺失: 代码中缺少单元测试和UI测试用例</w:t>
      </w:r>
    </w:p>
    <w:p w14:paraId="2C498430">
      <w:pPr>
        <w:rPr>
          <w:b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3CDD20"/>
    <w:multiLevelType w:val="singleLevel"/>
    <w:tmpl w:val="843CDD20"/>
    <w:lvl w:ilvl="0" w:tentative="0">
      <w:start w:val="1"/>
      <w:numFmt w:val="decimal"/>
      <w:suff w:val="space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AED3E2A1"/>
    <w:multiLevelType w:val="singleLevel"/>
    <w:tmpl w:val="AED3E2A1"/>
    <w:lvl w:ilvl="0" w:tentative="0">
      <w:start w:val="1"/>
      <w:numFmt w:val="decimal"/>
      <w:suff w:val="space"/>
      <w:lvlText w:val="(%1)"/>
      <w:lvlJc w:val="left"/>
      <w:pPr>
        <w:ind w:left="425" w:hanging="425"/>
      </w:pPr>
      <w:rPr>
        <w:rFonts w:hint="default"/>
      </w:rPr>
    </w:lvl>
  </w:abstractNum>
  <w:abstractNum w:abstractNumId="2">
    <w:nsid w:val="CB22D50B"/>
    <w:multiLevelType w:val="singleLevel"/>
    <w:tmpl w:val="CB22D50B"/>
    <w:lvl w:ilvl="0" w:tentative="0">
      <w:start w:val="1"/>
      <w:numFmt w:val="decimal"/>
      <w:suff w:val="space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E36E103C"/>
    <w:multiLevelType w:val="singleLevel"/>
    <w:tmpl w:val="E36E103C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4C7F5A11"/>
    <w:multiLevelType w:val="multilevel"/>
    <w:tmpl w:val="4C7F5A11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9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I2OGRlMWE5Y2QyYjc3M2EyN2Q3YjdiNTU2MjQ0MzAifQ=="/>
  </w:docVars>
  <w:rsids>
    <w:rsidRoot w:val="007A1F2B"/>
    <w:rsid w:val="00036FF5"/>
    <w:rsid w:val="00096009"/>
    <w:rsid w:val="000A37CC"/>
    <w:rsid w:val="000F2FD2"/>
    <w:rsid w:val="00153F70"/>
    <w:rsid w:val="0016555C"/>
    <w:rsid w:val="00175801"/>
    <w:rsid w:val="00182C19"/>
    <w:rsid w:val="002351C2"/>
    <w:rsid w:val="0024229A"/>
    <w:rsid w:val="0028565D"/>
    <w:rsid w:val="003129B2"/>
    <w:rsid w:val="004D4B95"/>
    <w:rsid w:val="0050499F"/>
    <w:rsid w:val="00670003"/>
    <w:rsid w:val="00694268"/>
    <w:rsid w:val="006A0BA4"/>
    <w:rsid w:val="00754F6B"/>
    <w:rsid w:val="0076122B"/>
    <w:rsid w:val="00790A94"/>
    <w:rsid w:val="007A1F2B"/>
    <w:rsid w:val="007C32B9"/>
    <w:rsid w:val="007C3ED2"/>
    <w:rsid w:val="007C75B4"/>
    <w:rsid w:val="007E0D0A"/>
    <w:rsid w:val="00830853"/>
    <w:rsid w:val="00860B61"/>
    <w:rsid w:val="008E4B12"/>
    <w:rsid w:val="008E5990"/>
    <w:rsid w:val="00912118"/>
    <w:rsid w:val="009C1B43"/>
    <w:rsid w:val="009C30D2"/>
    <w:rsid w:val="009D171C"/>
    <w:rsid w:val="009F4762"/>
    <w:rsid w:val="00AA5DE1"/>
    <w:rsid w:val="00AF7A44"/>
    <w:rsid w:val="00B24A0A"/>
    <w:rsid w:val="00C55B4D"/>
    <w:rsid w:val="00C641A9"/>
    <w:rsid w:val="00C7440D"/>
    <w:rsid w:val="00D1212D"/>
    <w:rsid w:val="00F04A68"/>
    <w:rsid w:val="00F3446F"/>
    <w:rsid w:val="00F46F95"/>
    <w:rsid w:val="00F62D10"/>
    <w:rsid w:val="00FF4288"/>
    <w:rsid w:val="1B036A51"/>
    <w:rsid w:val="1FD14FC5"/>
    <w:rsid w:val="205146C3"/>
    <w:rsid w:val="21957946"/>
    <w:rsid w:val="27A62C9F"/>
    <w:rsid w:val="2A131D49"/>
    <w:rsid w:val="2A5C092E"/>
    <w:rsid w:val="33B444E3"/>
    <w:rsid w:val="4C3B45C8"/>
    <w:rsid w:val="625F3FF3"/>
    <w:rsid w:val="642A78AA"/>
    <w:rsid w:val="66735319"/>
    <w:rsid w:val="7CA13EFF"/>
    <w:rsid w:val="7EF27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3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HTML Preformatted"/>
    <w:basedOn w:val="1"/>
    <w:autoRedefine/>
    <w:semiHidden/>
    <w:unhideWhenUsed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  <w:sz w:val="24"/>
      <w:szCs w:val="24"/>
    </w:rPr>
  </w:style>
  <w:style w:type="table" w:styleId="8">
    <w:name w:val="Table Grid"/>
    <w:basedOn w:val="7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paragraph" w:customStyle="1" w:styleId="11">
    <w:name w:val="样式48 Char Char Char"/>
    <w:basedOn w:val="1"/>
    <w:autoRedefine/>
    <w:qFormat/>
    <w:uiPriority w:val="0"/>
    <w:pPr>
      <w:adjustRightInd w:val="0"/>
      <w:snapToGrid w:val="0"/>
      <w:spacing w:line="360" w:lineRule="auto"/>
      <w:ind w:firstLine="420" w:firstLineChars="200"/>
    </w:pPr>
    <w:rPr>
      <w:rFonts w:ascii="Times New Roman" w:hAnsi="Times New Roman" w:eastAsia="宋体" w:cs="Times New Roman"/>
      <w:szCs w:val="21"/>
    </w:rPr>
  </w:style>
  <w:style w:type="character" w:customStyle="1" w:styleId="12">
    <w:name w:val="页眉 字符"/>
    <w:basedOn w:val="9"/>
    <w:link w:val="5"/>
    <w:autoRedefine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3">
    <w:name w:val="页脚 字符"/>
    <w:basedOn w:val="9"/>
    <w:link w:val="4"/>
    <w:autoRedefine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102</Words>
  <Characters>625</Characters>
  <Lines>30</Lines>
  <Paragraphs>8</Paragraphs>
  <TotalTime>119</TotalTime>
  <ScaleCrop>false</ScaleCrop>
  <LinksUpToDate>false</LinksUpToDate>
  <CharactersWithSpaces>626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2015-09-18T01:20:00Z</dcterms:created>
  <dc:creator>ylz</dc:creator>
  <cp:lastModifiedBy>星宸</cp:lastModifiedBy>
  <dcterms:modified xsi:type="dcterms:W3CDTF">2026-04-28T11:33:41Z</dcterms:modified>
  <cp:revision>90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ABF5068291C84F54B5C9F26F89792696_13</vt:lpwstr>
  </property>
  <property fmtid="{D5CDD505-2E9C-101B-9397-08002B2CF9AE}" pid="4" name="KSOTemplateDocerSaveRecord">
    <vt:lpwstr>eyJoZGlkIjoiNjg3ZmJlZjhjYTZmOGEzZWRiODZiZDBjY2U2NTM4Y2MiLCJ1c2VySWQiOiI5MTkzNDA0NDAifQ==</vt:lpwstr>
  </property>
</Properties>
</file>